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D9" w:rsidRPr="00640CD9" w:rsidRDefault="00640CD9" w:rsidP="00640CD9">
      <w:pPr>
        <w:spacing w:line="360" w:lineRule="auto"/>
        <w:ind w:leftChars="-85" w:left="-178" w:rightChars="-73" w:right="-153"/>
        <w:jc w:val="right"/>
        <w:rPr>
          <w:rFonts w:ascii="仿宋_GB2312" w:eastAsia="仿宋_GB2312" w:hAnsi="华文中宋" w:hint="eastAsia"/>
          <w:b/>
          <w:color w:val="FF0000"/>
          <w:spacing w:val="-20"/>
          <w:w w:val="75"/>
          <w:sz w:val="28"/>
          <w:szCs w:val="28"/>
        </w:rPr>
      </w:pPr>
      <w:r w:rsidRPr="00640CD9">
        <w:rPr>
          <w:rFonts w:ascii="仿宋_GB2312" w:eastAsia="仿宋_GB2312" w:hint="eastAsia"/>
          <w:sz w:val="28"/>
          <w:szCs w:val="28"/>
        </w:rPr>
        <w:t>（GS）简临字 021号</w:t>
      </w:r>
    </w:p>
    <w:p w:rsidR="0071394C" w:rsidRDefault="00CD471D">
      <w:pPr>
        <w:spacing w:line="360" w:lineRule="auto"/>
        <w:ind w:leftChars="-85" w:left="-178" w:rightChars="-73" w:right="-153"/>
        <w:rPr>
          <w:rFonts w:ascii="华文中宋" w:eastAsia="华文中宋" w:hAnsi="华文中宋"/>
          <w:b/>
          <w:color w:val="FF0000"/>
          <w:spacing w:val="-20"/>
          <w:w w:val="75"/>
          <w:sz w:val="44"/>
          <w:szCs w:val="44"/>
        </w:rPr>
      </w:pPr>
      <w:r>
        <w:rPr>
          <w:rFonts w:ascii="华文中宋" w:eastAsia="华文中宋" w:hAnsi="华文中宋" w:hint="eastAsia"/>
          <w:b/>
          <w:color w:val="FF0000"/>
          <w:spacing w:val="-20"/>
          <w:w w:val="75"/>
          <w:sz w:val="44"/>
          <w:szCs w:val="44"/>
        </w:rPr>
        <w:t>苏州历史文化名城保护和提升古城保护示范工程（平江片区）指挥部</w:t>
      </w:r>
    </w:p>
    <w:p w:rsidR="0071394C" w:rsidRDefault="00CD471D">
      <w:pPr>
        <w:spacing w:line="480" w:lineRule="auto"/>
        <w:jc w:val="center"/>
        <w:rPr>
          <w:rFonts w:ascii="华文中宋" w:eastAsia="华文中宋" w:hAnsi="华文中宋"/>
          <w:b/>
          <w:color w:val="FF0000"/>
          <w:w w:val="96"/>
          <w:sz w:val="44"/>
          <w:szCs w:val="44"/>
        </w:rPr>
      </w:pPr>
      <w:r>
        <w:rPr>
          <w:rFonts w:ascii="华文中宋" w:eastAsia="华文中宋" w:hAnsi="华文中宋" w:hint="eastAsia"/>
          <w:b/>
          <w:color w:val="FF0000"/>
          <w:w w:val="96"/>
          <w:sz w:val="44"/>
          <w:szCs w:val="44"/>
        </w:rPr>
        <w:t>工  作  简  报</w:t>
      </w:r>
    </w:p>
    <w:p w:rsidR="0071394C" w:rsidRDefault="00CD471D">
      <w:pPr>
        <w:spacing w:line="480" w:lineRule="auto"/>
        <w:jc w:val="right"/>
        <w:rPr>
          <w:rFonts w:ascii="楷体_GB2312" w:eastAsia="楷体_GB2312"/>
          <w:b/>
          <w:bCs/>
          <w:sz w:val="32"/>
        </w:rPr>
      </w:pPr>
      <w:r>
        <w:rPr>
          <w:rFonts w:ascii="楷体_GB2312" w:eastAsia="楷体_GB2312" w:hint="eastAsia"/>
          <w:b/>
          <w:bCs/>
          <w:sz w:val="32"/>
        </w:rPr>
        <w:t>古城保护示范工程（平江片区）指挥部办公室编制</w:t>
      </w:r>
    </w:p>
    <w:p w:rsidR="0071394C" w:rsidRDefault="00CD471D">
      <w:pPr>
        <w:spacing w:line="480" w:lineRule="auto"/>
        <w:jc w:val="right"/>
        <w:rPr>
          <w:rFonts w:ascii="楷体_GB2312" w:eastAsia="楷体_GB2312"/>
          <w:b/>
          <w:bCs/>
          <w:sz w:val="36"/>
          <w:szCs w:val="36"/>
        </w:rPr>
      </w:pPr>
      <w:r>
        <w:rPr>
          <w:rFonts w:ascii="楷体_GB2312" w:eastAsia="楷体_GB2312" w:hint="eastAsia"/>
          <w:b/>
          <w:bCs/>
          <w:sz w:val="32"/>
        </w:rPr>
        <w:t>2018年第1期(总第1期)</w:t>
      </w:r>
    </w:p>
    <w:p w:rsidR="0071394C" w:rsidRDefault="00BF1391">
      <w:pPr>
        <w:spacing w:line="100" w:lineRule="exact"/>
        <w:rPr>
          <w:rFonts w:ascii="楷体_GB2312" w:eastAsia="楷体_GB2312"/>
          <w:b/>
          <w:bCs/>
          <w:sz w:val="32"/>
        </w:rPr>
      </w:pPr>
      <w:r w:rsidRPr="00BF1391">
        <w:rPr>
          <w:rFonts w:ascii="楷体_GB2312" w:eastAsia="楷体_GB2312"/>
        </w:rPr>
        <w:pict>
          <v:shape id="_x0000_s1026" style="position:absolute;left:0;text-align:left;margin-left:-19.5pt;margin-top:2.2pt;width:468.55pt;height:3.25pt;z-index:251664384" coordsize="9371,65" o:spt="100" o:gfxdata="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JNd1PYAAAA&#10;CAEAAA8AAAAAAAAAAQAgAAAAIgAAAGRycy9kb3ducmV2LnhtbFBLAQIUABQAAAAIAIdO4kC5yUhZ&#10;HQIAAEEEAAAOAAAAAAAAAAEAIAAAACcBAABkcnMvZTJvRG9jLnhtbFBLBQYAAAAABgAGAFkBAAC2&#10;BQAAAAA=&#10;" adj="0,,0" path="m,65l9371,e" filled="f" strokecolor="red" strokeweight="3pt">
            <v:stroke joinstyle="round"/>
            <v:formulas/>
            <v:path o:connecttype="segments"/>
          </v:shape>
        </w:pict>
      </w:r>
    </w:p>
    <w:p w:rsidR="0071394C" w:rsidRDefault="0071394C">
      <w:pPr>
        <w:spacing w:line="160" w:lineRule="exact"/>
        <w:rPr>
          <w:rFonts w:ascii="宋体" w:hAnsi="宋体"/>
          <w:b/>
          <w:bCs/>
          <w:spacing w:val="-12"/>
          <w:sz w:val="36"/>
          <w:szCs w:val="36"/>
        </w:rPr>
      </w:pPr>
    </w:p>
    <w:p w:rsidR="0071394C" w:rsidRDefault="00BF1391">
      <w:pPr>
        <w:spacing w:line="600" w:lineRule="atLeast"/>
        <w:rPr>
          <w:rFonts w:ascii="黑体" w:eastAsia="黑体" w:hAnsi="黑体"/>
          <w:b/>
          <w:bCs/>
          <w:sz w:val="36"/>
          <w:szCs w:val="36"/>
        </w:rPr>
      </w:pPr>
      <w:r>
        <w:rPr>
          <w:rFonts w:ascii="黑体" w:eastAsia="黑体" w:hAnsi="黑体"/>
          <w:b/>
          <w:bCs/>
          <w:sz w:val="36"/>
          <w:szCs w:val="36"/>
        </w:rPr>
        <w:pict>
          <v:line id="Line 3" o:spid="_x0000_s2050" style="position:absolute;left:0;text-align:left;z-index:251667456" from="335.25pt,10.4pt" to="335.25pt,540.8pt" o:gfxdata="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Tjqnk1gAAAAsBAAAPAAAAAAAAAAEAIAAAACIAAABkcnMvZG93bnJl&#10;di54bWxQSwECFAAUAAAACACHTuJAJ79eF8YBAACQAwAADgAAAAAAAAABACAAAAAlAQAAZHJzL2Uy&#10;b0RvYy54bWxQSwUGAAAAAAYABgBZAQAAXQUAAAAA&#10;" strokecolor="red" strokeweight="1.75pt">
            <v:stroke dashstyle="longDashDot"/>
          </v:line>
        </w:pict>
      </w:r>
      <w:r w:rsidR="00CD471D">
        <w:rPr>
          <w:rFonts w:ascii="黑体" w:eastAsia="黑体" w:hAnsi="黑体" w:hint="eastAsia"/>
          <w:b/>
          <w:bCs/>
          <w:sz w:val="36"/>
          <w:szCs w:val="36"/>
        </w:rPr>
        <w:t>本期要目领导批示：</w:t>
      </w:r>
    </w:p>
    <w:p w:rsidR="0071394C" w:rsidRDefault="00CD471D">
      <w:pPr>
        <w:pStyle w:val="a6"/>
        <w:shd w:val="clear" w:color="auto" w:fill="FFFFFF"/>
        <w:spacing w:before="0" w:beforeAutospacing="0" w:after="0" w:afterAutospacing="0" w:line="520" w:lineRule="atLeast"/>
        <w:outlineLvl w:val="1"/>
        <w:rPr>
          <w:rStyle w:val="a7"/>
          <w:rFonts w:ascii="黑体" w:eastAsia="黑体" w:hAnsi="黑体"/>
          <w:color w:val="333333"/>
          <w:spacing w:val="-15"/>
          <w:kern w:val="36"/>
          <w:sz w:val="32"/>
          <w:szCs w:val="32"/>
        </w:rPr>
      </w:pPr>
      <w:r>
        <w:rPr>
          <w:rFonts w:ascii="黑体" w:eastAsia="黑体" w:hAnsi="黑体" w:hint="eastAsia"/>
          <w:color w:val="333333"/>
          <w:spacing w:val="-15"/>
          <w:kern w:val="36"/>
          <w:sz w:val="32"/>
          <w:szCs w:val="32"/>
        </w:rPr>
        <w:t>▲</w:t>
      </w:r>
      <w:r>
        <w:rPr>
          <w:rStyle w:val="a7"/>
          <w:rFonts w:ascii="黑体" w:eastAsia="黑体" w:hAnsi="黑体" w:hint="eastAsia"/>
          <w:color w:val="333333"/>
          <w:spacing w:val="-15"/>
          <w:kern w:val="36"/>
          <w:sz w:val="32"/>
          <w:szCs w:val="32"/>
        </w:rPr>
        <w:t xml:space="preserve">工作汇总 </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一、吴晓东调研平江片区</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二、徐刚主持召开片区专题规划研究工作会议</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三、指挥部召开片区相关工程设计方案专家评审会</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四、指挥部召开片区专题规划编制工作研讨会</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微软雅黑" w:eastAsia="微软雅黑" w:hAnsi="微软雅黑"/>
          <w:b w:val="0"/>
          <w:bCs w:val="0"/>
          <w:color w:val="333333"/>
          <w:kern w:val="36"/>
        </w:rPr>
      </w:pPr>
      <w:r>
        <w:rPr>
          <w:rStyle w:val="a7"/>
          <w:rFonts w:ascii="仿宋" w:eastAsia="仿宋" w:hAnsi="仿宋" w:hint="eastAsia"/>
          <w:color w:val="333333"/>
          <w:spacing w:val="-15"/>
          <w:kern w:val="36"/>
          <w:sz w:val="32"/>
          <w:szCs w:val="32"/>
        </w:rPr>
        <w:t>五、2018“书香姑苏”阅读节暨平江晒书节开幕</w:t>
      </w:r>
    </w:p>
    <w:p w:rsidR="0071394C" w:rsidRDefault="00CD471D">
      <w:pPr>
        <w:pStyle w:val="1"/>
        <w:spacing w:line="520" w:lineRule="atLeast"/>
        <w:jc w:val="both"/>
        <w:rPr>
          <w:rStyle w:val="a7"/>
          <w:rFonts w:ascii="黑体" w:eastAsia="黑体" w:hAnsi="黑体"/>
          <w:color w:val="333333"/>
          <w:spacing w:val="-15"/>
          <w:kern w:val="36"/>
          <w:sz w:val="32"/>
          <w:szCs w:val="32"/>
        </w:rPr>
      </w:pPr>
      <w:bookmarkStart w:id="0" w:name="OLE_LINK5"/>
      <w:bookmarkStart w:id="1" w:name="OLE_LINK4"/>
      <w:bookmarkStart w:id="2" w:name="OLE_LINK3"/>
      <w:r>
        <w:rPr>
          <w:rFonts w:ascii="黑体" w:eastAsia="黑体" w:hAnsi="黑体" w:hint="eastAsia"/>
          <w:color w:val="333333"/>
          <w:spacing w:val="-15"/>
          <w:kern w:val="36"/>
          <w:sz w:val="32"/>
          <w:szCs w:val="32"/>
        </w:rPr>
        <w:t>▲</w:t>
      </w:r>
      <w:r>
        <w:rPr>
          <w:rStyle w:val="a7"/>
          <w:rFonts w:ascii="黑体" w:eastAsia="黑体" w:hAnsi="黑体" w:hint="eastAsia"/>
          <w:color w:val="333333"/>
          <w:spacing w:val="-15"/>
          <w:kern w:val="36"/>
          <w:sz w:val="32"/>
          <w:szCs w:val="32"/>
        </w:rPr>
        <w:t>工作动态</w:t>
      </w:r>
    </w:p>
    <w:bookmarkEnd w:id="0"/>
    <w:bookmarkEnd w:id="1"/>
    <w:bookmarkEnd w:id="2"/>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一、新建里13号清零</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二、片区支巷等管理薄弱区域集中整治</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三、东北街步行街等景区重点区域集中整治</w:t>
      </w:r>
    </w:p>
    <w:p w:rsidR="0071394C" w:rsidRDefault="00C33C6E">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四、河道</w:t>
      </w:r>
      <w:r w:rsidR="00CD471D">
        <w:rPr>
          <w:rStyle w:val="a7"/>
          <w:rFonts w:ascii="仿宋" w:eastAsia="仿宋" w:hAnsi="仿宋" w:hint="eastAsia"/>
          <w:color w:val="333333"/>
          <w:spacing w:val="-15"/>
          <w:kern w:val="36"/>
          <w:sz w:val="32"/>
          <w:szCs w:val="32"/>
        </w:rPr>
        <w:t>清淤工程启动</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五、“331”专项行动攻坚战提前开展</w:t>
      </w:r>
    </w:p>
    <w:p w:rsidR="0071394C" w:rsidRDefault="00CD471D">
      <w:pPr>
        <w:pStyle w:val="a6"/>
        <w:shd w:val="clear" w:color="auto" w:fill="FFFFFF"/>
        <w:spacing w:before="0" w:beforeAutospacing="0" w:after="0" w:afterAutospacing="0" w:line="520" w:lineRule="atLeast"/>
        <w:ind w:firstLineChars="98" w:firstLine="285"/>
        <w:outlineLvl w:val="1"/>
        <w:rPr>
          <w:rStyle w:val="a7"/>
          <w:rFonts w:ascii="仿宋" w:eastAsia="仿宋" w:hAnsi="仿宋"/>
          <w:color w:val="333333"/>
          <w:spacing w:val="-15"/>
          <w:kern w:val="36"/>
          <w:sz w:val="32"/>
          <w:szCs w:val="32"/>
        </w:rPr>
      </w:pPr>
      <w:r>
        <w:rPr>
          <w:rStyle w:val="a7"/>
          <w:rFonts w:ascii="仿宋" w:eastAsia="仿宋" w:hAnsi="仿宋" w:hint="eastAsia"/>
          <w:color w:val="333333"/>
          <w:spacing w:val="-15"/>
          <w:kern w:val="36"/>
          <w:sz w:val="32"/>
          <w:szCs w:val="32"/>
        </w:rPr>
        <w:t>六、临顿河北段沿线商户环境整治宣传</w:t>
      </w:r>
    </w:p>
    <w:p w:rsidR="0071394C" w:rsidRDefault="00CD471D">
      <w:pPr>
        <w:pStyle w:val="a6"/>
        <w:shd w:val="clear" w:color="auto" w:fill="FFFFFF"/>
        <w:spacing w:before="0" w:beforeAutospacing="0" w:after="0" w:afterAutospacing="0" w:line="520" w:lineRule="atLeast"/>
        <w:outlineLvl w:val="1"/>
        <w:rPr>
          <w:rStyle w:val="a7"/>
          <w:rFonts w:ascii="黑体" w:eastAsia="黑体" w:hAnsi="黑体"/>
          <w:color w:val="333333"/>
          <w:spacing w:val="-15"/>
          <w:kern w:val="36"/>
          <w:sz w:val="32"/>
          <w:szCs w:val="32"/>
        </w:rPr>
      </w:pPr>
      <w:r>
        <w:rPr>
          <w:rStyle w:val="a7"/>
          <w:rFonts w:ascii="黑体" w:eastAsia="黑体" w:hAnsi="黑体" w:hint="eastAsia"/>
          <w:color w:val="333333"/>
          <w:spacing w:val="-15"/>
          <w:kern w:val="36"/>
          <w:sz w:val="32"/>
          <w:szCs w:val="32"/>
        </w:rPr>
        <w:t>▲平江史话</w:t>
      </w:r>
      <w:bookmarkStart w:id="3" w:name="_GoBack"/>
      <w:bookmarkEnd w:id="3"/>
    </w:p>
    <w:p w:rsidR="007E3CED" w:rsidRPr="007E3CED" w:rsidRDefault="00CD471D" w:rsidP="00640CD9">
      <w:pPr>
        <w:pStyle w:val="a6"/>
        <w:shd w:val="clear" w:color="auto" w:fill="FFFFFF"/>
        <w:spacing w:before="0" w:beforeAutospacing="0" w:after="0" w:afterAutospacing="0" w:line="520" w:lineRule="atLeast"/>
        <w:ind w:firstLineChars="98" w:firstLine="285"/>
        <w:outlineLvl w:val="1"/>
        <w:rPr>
          <w:rFonts w:ascii="仿宋" w:eastAsia="仿宋" w:hAnsi="仿宋"/>
          <w:b/>
          <w:bCs/>
          <w:color w:val="333333"/>
          <w:spacing w:val="-15"/>
          <w:kern w:val="36"/>
          <w:sz w:val="32"/>
          <w:szCs w:val="32"/>
        </w:rPr>
      </w:pPr>
      <w:r>
        <w:rPr>
          <w:rStyle w:val="a7"/>
          <w:rFonts w:ascii="仿宋" w:eastAsia="仿宋" w:hAnsi="仿宋" w:hint="eastAsia"/>
          <w:color w:val="333333"/>
          <w:spacing w:val="-15"/>
          <w:kern w:val="36"/>
          <w:sz w:val="32"/>
          <w:szCs w:val="32"/>
        </w:rPr>
        <w:t>顾颉刚故居</w:t>
      </w:r>
    </w:p>
    <w:p w:rsidR="0071394C" w:rsidRDefault="00CD471D">
      <w:pPr>
        <w:pStyle w:val="a8"/>
        <w:numPr>
          <w:ilvl w:val="0"/>
          <w:numId w:val="1"/>
        </w:numPr>
        <w:spacing w:line="360" w:lineRule="auto"/>
        <w:ind w:firstLineChars="0"/>
        <w:rPr>
          <w:rFonts w:ascii="黑体" w:eastAsia="黑体" w:hAnsi="黑体"/>
          <w:sz w:val="32"/>
          <w:szCs w:val="32"/>
        </w:rPr>
      </w:pPr>
      <w:r>
        <w:rPr>
          <w:rFonts w:ascii="黑体" w:eastAsia="黑体" w:hAnsi="黑体" w:hint="eastAsia"/>
          <w:sz w:val="32"/>
          <w:szCs w:val="32"/>
        </w:rPr>
        <w:lastRenderedPageBreak/>
        <w:t>吴晓东调研平江片区</w:t>
      </w:r>
    </w:p>
    <w:p w:rsidR="0071394C" w:rsidRDefault="00CD471D">
      <w:pPr>
        <w:spacing w:line="360" w:lineRule="auto"/>
        <w:ind w:firstLineChars="200" w:firstLine="640"/>
        <w:rPr>
          <w:rFonts w:ascii="仿宋_GB2312" w:eastAsia="仿宋_GB2312"/>
          <w:color w:val="000000"/>
          <w:sz w:val="32"/>
          <w:szCs w:val="32"/>
          <w:shd w:val="clear" w:color="auto" w:fill="FFFFFF"/>
        </w:rPr>
      </w:pPr>
      <w:r>
        <w:rPr>
          <w:rFonts w:ascii="仿宋_GB2312" w:eastAsia="仿宋_GB2312" w:hint="eastAsia"/>
          <w:noProof/>
          <w:color w:val="000000"/>
          <w:sz w:val="32"/>
          <w:szCs w:val="32"/>
        </w:rPr>
        <w:drawing>
          <wp:anchor distT="0" distB="0" distL="114300" distR="114300" simplePos="0" relativeHeight="251663360" behindDoc="0" locked="0" layoutInCell="1" allowOverlap="1">
            <wp:simplePos x="0" y="0"/>
            <wp:positionH relativeFrom="column">
              <wp:posOffset>1434465</wp:posOffset>
            </wp:positionH>
            <wp:positionV relativeFrom="paragraph">
              <wp:posOffset>497205</wp:posOffset>
            </wp:positionV>
            <wp:extent cx="3937000" cy="2949575"/>
            <wp:effectExtent l="19050" t="0" r="6350" b="0"/>
            <wp:wrapSquare wrapText="bothSides"/>
            <wp:docPr id="13" name="图片 12" descr="TIM图片2018052915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TIM图片20180529155754.jpg"/>
                    <pic:cNvPicPr>
                      <a:picLocks noChangeAspect="1"/>
                    </pic:cNvPicPr>
                  </pic:nvPicPr>
                  <pic:blipFill>
                    <a:blip r:embed="rId8" cstate="print"/>
                    <a:stretch>
                      <a:fillRect/>
                    </a:stretch>
                  </pic:blipFill>
                  <pic:spPr>
                    <a:xfrm>
                      <a:off x="0" y="0"/>
                      <a:ext cx="3937000" cy="2949575"/>
                    </a:xfrm>
                    <a:prstGeom prst="rect">
                      <a:avLst/>
                    </a:prstGeom>
                  </pic:spPr>
                </pic:pic>
              </a:graphicData>
            </a:graphic>
          </wp:anchor>
        </w:drawing>
      </w:r>
      <w:r>
        <w:rPr>
          <w:rFonts w:ascii="仿宋_GB2312" w:eastAsia="仿宋_GB2312" w:hint="eastAsia"/>
          <w:color w:val="000000"/>
          <w:sz w:val="32"/>
          <w:szCs w:val="32"/>
          <w:shd w:val="clear" w:color="auto" w:fill="FFFFFF"/>
        </w:rPr>
        <w:t>5月15日上午，吴晓东副市长带队实地踏勘了平江路河道清淤工程和平江路基础设施提升整治工程现场，详细了解了现场施工内容，包括河道清淤的机械作业过程、平江路的地面修复工作和平江河道的景观灯样板。吴晓东副市长要求实施单位合理安排工作进度，保质保量达到预期目标。</w:t>
      </w:r>
    </w:p>
    <w:p w:rsidR="0071394C" w:rsidRDefault="00CD471D">
      <w:pPr>
        <w:spacing w:line="360" w:lineRule="auto"/>
        <w:ind w:firstLineChars="200" w:firstLine="640"/>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随后，吴晓东副市长召开专题会议，听取了市有关部门、姑苏区关于片区示范工程近阶段工作进展情况的汇报，详细了解了片区政策法规、规划设计、工程项目、居民腾迁、综合管理等方面内容，对工程整体推进作出重要指示，</w:t>
      </w:r>
      <w:r>
        <w:rPr>
          <w:rFonts w:ascii="仿宋_GB2312" w:eastAsia="仿宋_GB2312" w:hint="eastAsia"/>
          <w:b/>
          <w:color w:val="000000"/>
          <w:sz w:val="32"/>
          <w:szCs w:val="32"/>
          <w:shd w:val="clear" w:color="auto" w:fill="FFFFFF"/>
        </w:rPr>
        <w:t>一是</w:t>
      </w:r>
      <w:r>
        <w:rPr>
          <w:rFonts w:ascii="仿宋_GB2312" w:eastAsia="仿宋_GB2312" w:hint="eastAsia"/>
          <w:color w:val="000000"/>
          <w:sz w:val="32"/>
          <w:szCs w:val="32"/>
          <w:shd w:val="clear" w:color="auto" w:fill="FFFFFF"/>
        </w:rPr>
        <w:t>要加快《</w:t>
      </w:r>
      <w:r>
        <w:rPr>
          <w:rFonts w:ascii="仿宋_GB2312" w:eastAsia="仿宋_GB2312"/>
          <w:color w:val="000000"/>
          <w:sz w:val="32"/>
          <w:szCs w:val="32"/>
          <w:shd w:val="clear" w:color="auto" w:fill="FFFFFF"/>
        </w:rPr>
        <w:t>苏州国家历史文化名城保护条例</w:t>
      </w:r>
      <w:r>
        <w:rPr>
          <w:rFonts w:ascii="仿宋_GB2312" w:eastAsia="仿宋_GB2312" w:hint="eastAsia"/>
          <w:color w:val="000000"/>
          <w:sz w:val="32"/>
          <w:szCs w:val="32"/>
          <w:shd w:val="clear" w:color="auto" w:fill="FFFFFF"/>
        </w:rPr>
        <w:t>》成果转化，在《条例》框架下，相应出台配套政策文件；</w:t>
      </w:r>
      <w:r>
        <w:rPr>
          <w:rFonts w:ascii="仿宋_GB2312" w:eastAsia="仿宋_GB2312" w:hint="eastAsia"/>
          <w:b/>
          <w:color w:val="000000"/>
          <w:sz w:val="32"/>
          <w:szCs w:val="32"/>
          <w:shd w:val="clear" w:color="auto" w:fill="FFFFFF"/>
        </w:rPr>
        <w:t>二是</w:t>
      </w:r>
      <w:r>
        <w:rPr>
          <w:rFonts w:ascii="仿宋_GB2312" w:eastAsia="仿宋_GB2312" w:hint="eastAsia"/>
          <w:color w:val="000000"/>
          <w:sz w:val="32"/>
          <w:szCs w:val="32"/>
          <w:shd w:val="clear" w:color="auto" w:fill="FFFFFF"/>
        </w:rPr>
        <w:t>要加快片区五大专题研究及技术导则制定，适时开展论证评审活动，充分发挥专家学者、志愿者、热心市民、艺术院校师生等社会各阶层智囊团的作用，力争形成控制性详规、城市设计、专题研</w:t>
      </w:r>
      <w:r w:rsidR="007E3CED">
        <w:rPr>
          <w:rFonts w:ascii="仿宋_GB2312" w:eastAsia="仿宋_GB2312" w:hint="eastAsia"/>
          <w:noProof/>
          <w:color w:val="000000"/>
          <w:sz w:val="32"/>
          <w:szCs w:val="32"/>
        </w:rPr>
        <w:lastRenderedPageBreak/>
        <w:drawing>
          <wp:anchor distT="0" distB="0" distL="114300" distR="114300" simplePos="0" relativeHeight="251668480" behindDoc="0" locked="0" layoutInCell="1" allowOverlap="1">
            <wp:simplePos x="0" y="0"/>
            <wp:positionH relativeFrom="column">
              <wp:posOffset>1247775</wp:posOffset>
            </wp:positionH>
            <wp:positionV relativeFrom="paragraph">
              <wp:posOffset>104775</wp:posOffset>
            </wp:positionV>
            <wp:extent cx="4010025" cy="3000375"/>
            <wp:effectExtent l="19050" t="0" r="9525" b="0"/>
            <wp:wrapSquare wrapText="bothSides"/>
            <wp:docPr id="3" name="图片 2" descr="蜂蜜浏览器_P104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蜂蜜浏览器_P1040226.jpg"/>
                    <pic:cNvPicPr>
                      <a:picLocks noChangeAspect="1"/>
                    </pic:cNvPicPr>
                  </pic:nvPicPr>
                  <pic:blipFill>
                    <a:blip r:embed="rId9" cstate="print"/>
                    <a:stretch>
                      <a:fillRect/>
                    </a:stretch>
                  </pic:blipFill>
                  <pic:spPr>
                    <a:xfrm>
                      <a:off x="0" y="0"/>
                      <a:ext cx="4010025" cy="3000375"/>
                    </a:xfrm>
                    <a:prstGeom prst="rect">
                      <a:avLst/>
                    </a:prstGeom>
                  </pic:spPr>
                </pic:pic>
              </a:graphicData>
            </a:graphic>
          </wp:anchor>
        </w:drawing>
      </w:r>
      <w:r>
        <w:rPr>
          <w:rFonts w:ascii="仿宋_GB2312" w:eastAsia="仿宋_GB2312" w:hint="eastAsia"/>
          <w:color w:val="000000"/>
          <w:sz w:val="32"/>
          <w:szCs w:val="32"/>
          <w:shd w:val="clear" w:color="auto" w:fill="FFFFFF"/>
        </w:rPr>
        <w:t>究和技术导则相结合的综合性规划成果；</w:t>
      </w:r>
      <w:r>
        <w:rPr>
          <w:rFonts w:ascii="仿宋_GB2312" w:eastAsia="仿宋_GB2312" w:hint="eastAsia"/>
          <w:b/>
          <w:color w:val="000000"/>
          <w:sz w:val="32"/>
          <w:szCs w:val="32"/>
          <w:shd w:val="clear" w:color="auto" w:fill="FFFFFF"/>
        </w:rPr>
        <w:t>三是</w:t>
      </w:r>
      <w:r>
        <w:rPr>
          <w:rFonts w:ascii="仿宋_GB2312" w:eastAsia="仿宋_GB2312" w:hint="eastAsia"/>
          <w:color w:val="000000"/>
          <w:sz w:val="32"/>
          <w:szCs w:val="32"/>
          <w:shd w:val="clear" w:color="auto" w:fill="FFFFFF"/>
        </w:rPr>
        <w:t>要加快片区内各项重点工程项目进度，要求精雕细琢，打造精品工程，确保古城风貌的和谐统一。</w:t>
      </w:r>
    </w:p>
    <w:p w:rsidR="0071394C" w:rsidRDefault="00CD471D">
      <w:pPr>
        <w:spacing w:line="360" w:lineRule="auto"/>
        <w:ind w:firstLineChars="250" w:firstLine="800"/>
        <w:rPr>
          <w:rFonts w:ascii="黑体" w:eastAsia="黑体" w:hAnsi="黑体"/>
          <w:sz w:val="32"/>
          <w:szCs w:val="32"/>
        </w:rPr>
      </w:pPr>
      <w:r>
        <w:rPr>
          <w:rFonts w:ascii="黑体" w:eastAsia="黑体" w:hAnsi="黑体" w:hint="eastAsia"/>
          <w:sz w:val="32"/>
          <w:szCs w:val="32"/>
        </w:rPr>
        <w:t>二、徐刚区长主持召开片区专题规划研究工作会议</w:t>
      </w:r>
    </w:p>
    <w:p w:rsidR="0071394C" w:rsidRDefault="00CD471D">
      <w:pPr>
        <w:spacing w:line="360" w:lineRule="auto"/>
        <w:ind w:firstLineChars="250" w:firstLine="800"/>
        <w:rPr>
          <w:rFonts w:ascii="仿宋_GB2312" w:eastAsia="仿宋_GB2312" w:hAnsi="华文中宋"/>
          <w:sz w:val="32"/>
          <w:szCs w:val="32"/>
        </w:rPr>
      </w:pPr>
      <w:r>
        <w:rPr>
          <w:rFonts w:ascii="仿宋_GB2312" w:eastAsia="仿宋_GB2312" w:hAnsi="华文中宋" w:hint="eastAsia"/>
          <w:sz w:val="32"/>
          <w:szCs w:val="32"/>
        </w:rPr>
        <w:t>3月14日下午，徐刚区长主持召开片区专题规划研究工作会议，会上，</w:t>
      </w:r>
      <w:r>
        <w:rPr>
          <w:rFonts w:ascii="仿宋_GB2312" w:eastAsia="仿宋_GB2312" w:hAnsi="仿宋_GB2312" w:cs="仿宋_GB2312" w:hint="eastAsia"/>
          <w:sz w:val="32"/>
          <w:szCs w:val="32"/>
        </w:rPr>
        <w:t>中国生态城市研究院介绍了片区五大专题及相关技术导则研究思路，并与市、区各相关部门、单位对接确认了规划编制所需基础资料清单</w:t>
      </w:r>
      <w:r>
        <w:rPr>
          <w:rFonts w:ascii="仿宋_GB2312" w:eastAsia="仿宋_GB2312" w:hAnsi="华文中宋" w:hint="eastAsia"/>
          <w:sz w:val="32"/>
          <w:szCs w:val="32"/>
        </w:rPr>
        <w:t>。会后，指挥部陪同中国生态城市研究院现场踏勘了状元博物馆、</w:t>
      </w:r>
      <w:r>
        <w:rPr>
          <w:rFonts w:ascii="仿宋_GB2312" w:eastAsia="仿宋_GB2312" w:hAnsi="仿宋_GB2312" w:cs="仿宋_GB2312" w:hint="eastAsia"/>
          <w:sz w:val="32"/>
          <w:szCs w:val="32"/>
        </w:rPr>
        <w:t>花间堂探花府</w:t>
      </w:r>
      <w:r>
        <w:rPr>
          <w:rFonts w:ascii="仿宋_GB2312" w:eastAsia="仿宋_GB2312" w:hAnsi="华文中宋" w:hint="eastAsia"/>
          <w:sz w:val="32"/>
          <w:szCs w:val="32"/>
        </w:rPr>
        <w:t>、中张家巷河道恢复工程和中张家巷29号保护修缮工程，实地了解各项目现状。</w:t>
      </w:r>
    </w:p>
    <w:p w:rsidR="0071394C" w:rsidRDefault="00CD471D">
      <w:pPr>
        <w:pStyle w:val="a8"/>
        <w:numPr>
          <w:ilvl w:val="0"/>
          <w:numId w:val="2"/>
        </w:numPr>
        <w:spacing w:line="360" w:lineRule="auto"/>
        <w:ind w:firstLineChars="0"/>
        <w:rPr>
          <w:rFonts w:ascii="黑体" w:eastAsia="黑体" w:hAnsi="黑体" w:cs="宋体"/>
          <w:w w:val="98"/>
          <w:kern w:val="0"/>
          <w:sz w:val="32"/>
          <w:szCs w:val="32"/>
        </w:rPr>
      </w:pPr>
      <w:r>
        <w:rPr>
          <w:rFonts w:ascii="黑体" w:eastAsia="黑体" w:hAnsi="黑体" w:cs="宋体" w:hint="eastAsia"/>
          <w:w w:val="98"/>
          <w:kern w:val="0"/>
          <w:sz w:val="32"/>
          <w:szCs w:val="32"/>
        </w:rPr>
        <w:t>指挥部召开片区相关工程设计方案专家评审会</w:t>
      </w:r>
    </w:p>
    <w:p w:rsidR="0071394C" w:rsidRDefault="00CD471D">
      <w:pPr>
        <w:spacing w:line="360" w:lineRule="auto"/>
        <w:ind w:firstLineChars="200" w:firstLine="640"/>
        <w:rPr>
          <w:rFonts w:ascii="黑体" w:eastAsia="黑体" w:hAnsi="黑体"/>
          <w:sz w:val="32"/>
          <w:szCs w:val="32"/>
        </w:rPr>
      </w:pPr>
      <w:r>
        <w:rPr>
          <w:rFonts w:ascii="仿宋_GB2312" w:eastAsia="仿宋_GB2312" w:cs="仿宋_GB2312" w:hint="eastAsia"/>
          <w:sz w:val="32"/>
          <w:szCs w:val="32"/>
        </w:rPr>
        <w:t>3月28日下午，指挥部办公室主任朱依东主持召开片区相关工程设计方案专家评审会。会议邀请了杨忠伟、詹永伟、相秉军、俞娟、</w:t>
      </w:r>
      <w:r>
        <w:rPr>
          <w:rFonts w:ascii="仿宋_GB2312" w:eastAsia="仿宋_GB2312" w:cs="仿宋_GB2312"/>
          <w:sz w:val="32"/>
          <w:szCs w:val="32"/>
        </w:rPr>
        <w:t>方大钧</w:t>
      </w:r>
      <w:r>
        <w:rPr>
          <w:rFonts w:ascii="仿宋_GB2312" w:eastAsia="仿宋_GB2312" w:cs="仿宋_GB2312" w:hint="eastAsia"/>
          <w:sz w:val="32"/>
          <w:szCs w:val="32"/>
        </w:rPr>
        <w:t>、向华明、徐宏等各领域专家组成专家组，专题审议了中张家巷整治提升工程、钮家巷管线入地</w:t>
      </w:r>
      <w:r w:rsidR="007E3CED">
        <w:rPr>
          <w:rFonts w:ascii="仿宋_GB2312" w:eastAsia="仿宋_GB2312" w:cs="仿宋_GB2312" w:hint="eastAsia"/>
          <w:noProof/>
          <w:sz w:val="32"/>
          <w:szCs w:val="32"/>
        </w:rPr>
        <w:lastRenderedPageBreak/>
        <w:drawing>
          <wp:anchor distT="0" distB="0" distL="114300" distR="114300" simplePos="0" relativeHeight="251659264" behindDoc="0" locked="0" layoutInCell="1" allowOverlap="1">
            <wp:simplePos x="0" y="0"/>
            <wp:positionH relativeFrom="column">
              <wp:posOffset>1638300</wp:posOffset>
            </wp:positionH>
            <wp:positionV relativeFrom="paragraph">
              <wp:posOffset>342900</wp:posOffset>
            </wp:positionV>
            <wp:extent cx="3524250" cy="2647950"/>
            <wp:effectExtent l="19050" t="0" r="0" b="0"/>
            <wp:wrapSquare wrapText="bothSides"/>
            <wp:docPr id="9" name="图片 8" descr="TIM图片2018051511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TIM图片20180515115022.jpg"/>
                    <pic:cNvPicPr>
                      <a:picLocks noChangeAspect="1"/>
                    </pic:cNvPicPr>
                  </pic:nvPicPr>
                  <pic:blipFill>
                    <a:blip r:embed="rId10" cstate="print"/>
                    <a:stretch>
                      <a:fillRect/>
                    </a:stretch>
                  </pic:blipFill>
                  <pic:spPr>
                    <a:xfrm>
                      <a:off x="0" y="0"/>
                      <a:ext cx="3524250" cy="2647950"/>
                    </a:xfrm>
                    <a:prstGeom prst="rect">
                      <a:avLst/>
                    </a:prstGeom>
                  </pic:spPr>
                </pic:pic>
              </a:graphicData>
            </a:graphic>
          </wp:anchor>
        </w:drawing>
      </w:r>
      <w:r>
        <w:rPr>
          <w:rFonts w:ascii="仿宋_GB2312" w:eastAsia="仿宋_GB2312" w:cs="仿宋_GB2312" w:hint="eastAsia"/>
          <w:sz w:val="32"/>
          <w:szCs w:val="32"/>
        </w:rPr>
        <w:t>工程、中张家巷南侧配套用房和沿河景观灯建设工程等各项设计方案，市市容市政管理局、市水利局、指挥部办公室及各工作组出席会议。会议认为各方案基本满足设计规范，要求在道路铺装、沿街建筑立面、绿化小品等方面作深化优化。</w:t>
      </w:r>
    </w:p>
    <w:p w:rsidR="0071394C" w:rsidRDefault="00CD471D">
      <w:pPr>
        <w:pStyle w:val="a8"/>
        <w:numPr>
          <w:ilvl w:val="0"/>
          <w:numId w:val="2"/>
        </w:numPr>
        <w:spacing w:line="360" w:lineRule="auto"/>
        <w:ind w:firstLineChars="0"/>
        <w:rPr>
          <w:rFonts w:ascii="黑体" w:eastAsia="黑体" w:hAnsi="黑体"/>
          <w:sz w:val="32"/>
          <w:szCs w:val="32"/>
        </w:rPr>
      </w:pPr>
      <w:r>
        <w:rPr>
          <w:rFonts w:ascii="黑体" w:eastAsia="黑体" w:hAnsi="黑体" w:hint="eastAsia"/>
          <w:sz w:val="32"/>
          <w:szCs w:val="32"/>
        </w:rPr>
        <w:t>指挥部召开片区专题规划编制工作研讨会</w:t>
      </w:r>
    </w:p>
    <w:p w:rsidR="0071394C" w:rsidRDefault="00CD471D">
      <w:pPr>
        <w:spacing w:line="360" w:lineRule="auto"/>
        <w:ind w:firstLineChars="200" w:firstLine="640"/>
        <w:rPr>
          <w:rFonts w:ascii="仿宋_GB2312" w:eastAsia="仿宋_GB2312"/>
          <w:sz w:val="32"/>
          <w:szCs w:val="28"/>
        </w:rPr>
      </w:pPr>
      <w:r>
        <w:rPr>
          <w:rFonts w:ascii="仿宋_GB2312" w:eastAsia="仿宋_GB2312" w:hint="eastAsia"/>
          <w:noProof/>
          <w:sz w:val="32"/>
          <w:szCs w:val="28"/>
        </w:rPr>
        <w:drawing>
          <wp:anchor distT="0" distB="0" distL="114300" distR="114300" simplePos="0" relativeHeight="251660288" behindDoc="0" locked="0" layoutInCell="1" allowOverlap="1">
            <wp:simplePos x="0" y="0"/>
            <wp:positionH relativeFrom="column">
              <wp:posOffset>-66675</wp:posOffset>
            </wp:positionH>
            <wp:positionV relativeFrom="paragraph">
              <wp:posOffset>468630</wp:posOffset>
            </wp:positionV>
            <wp:extent cx="3448050" cy="2590800"/>
            <wp:effectExtent l="19050" t="0" r="0" b="0"/>
            <wp:wrapSquare wrapText="bothSides"/>
            <wp:docPr id="10" name="图片 9" descr="蜂蜜浏览器_P10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蜂蜜浏览器_P1040210.jpg"/>
                    <pic:cNvPicPr>
                      <a:picLocks noChangeAspect="1"/>
                    </pic:cNvPicPr>
                  </pic:nvPicPr>
                  <pic:blipFill>
                    <a:blip r:embed="rId11" cstate="print"/>
                    <a:stretch>
                      <a:fillRect/>
                    </a:stretch>
                  </pic:blipFill>
                  <pic:spPr>
                    <a:xfrm>
                      <a:off x="0" y="0"/>
                      <a:ext cx="3448050" cy="2590800"/>
                    </a:xfrm>
                    <a:prstGeom prst="rect">
                      <a:avLst/>
                    </a:prstGeom>
                  </pic:spPr>
                </pic:pic>
              </a:graphicData>
            </a:graphic>
          </wp:anchor>
        </w:drawing>
      </w:r>
      <w:r>
        <w:rPr>
          <w:rFonts w:ascii="仿宋_GB2312" w:eastAsia="仿宋_GB2312" w:hint="eastAsia"/>
          <w:sz w:val="32"/>
          <w:szCs w:val="28"/>
        </w:rPr>
        <w:t>5月9日上午，徐本副区长主持召开片区专题规划编制工作研讨会，会议听取了片区五大专题及相关技术导则的初步研究成果，区住建委、区古保委、区城管委等单位出席。会上，各与会单位同中国生态城市研究院</w:t>
      </w:r>
      <w:r>
        <w:rPr>
          <w:rFonts w:ascii="仿宋_GB2312" w:eastAsia="仿宋_GB2312" w:hAnsi="仿宋_GB2312" w:cs="仿宋_GB2312" w:hint="eastAsia"/>
          <w:sz w:val="32"/>
          <w:szCs w:val="32"/>
        </w:rPr>
        <w:t>就片区规划涉及的交通布局、市政设施、功能业态等内容作了深入讨论和交换意见，在加强对接协调、加快完善规划大纲等方面达成共识。</w:t>
      </w:r>
    </w:p>
    <w:p w:rsidR="0071394C" w:rsidRDefault="00CD471D">
      <w:pPr>
        <w:spacing w:line="360" w:lineRule="auto"/>
        <w:ind w:firstLineChars="200" w:firstLine="640"/>
        <w:rPr>
          <w:rFonts w:ascii="黑体" w:eastAsia="黑体" w:hAnsi="黑体" w:cs="宋体"/>
          <w:w w:val="95"/>
          <w:kern w:val="0"/>
          <w:sz w:val="32"/>
          <w:szCs w:val="32"/>
        </w:rPr>
      </w:pPr>
      <w:r>
        <w:rPr>
          <w:rFonts w:ascii="黑体" w:eastAsia="黑体" w:hAnsi="黑体" w:hint="eastAsia"/>
          <w:sz w:val="32"/>
          <w:szCs w:val="28"/>
        </w:rPr>
        <w:lastRenderedPageBreak/>
        <w:t>五、</w:t>
      </w:r>
      <w:r>
        <w:rPr>
          <w:rFonts w:ascii="黑体" w:eastAsia="黑体" w:hAnsi="黑体" w:cs="宋体" w:hint="eastAsia"/>
          <w:w w:val="95"/>
          <w:kern w:val="0"/>
          <w:sz w:val="32"/>
          <w:szCs w:val="32"/>
        </w:rPr>
        <w:t>2018“书香姑苏”阅读节暨平江晒书节正式开幕</w:t>
      </w:r>
    </w:p>
    <w:p w:rsidR="0071394C" w:rsidRDefault="00CD471D">
      <w:pPr>
        <w:spacing w:line="360" w:lineRule="auto"/>
        <w:ind w:firstLineChars="200" w:firstLine="640"/>
        <w:rPr>
          <w:rFonts w:ascii="仿宋_GB2312" w:eastAsia="仿宋_GB2312"/>
          <w:sz w:val="32"/>
          <w:szCs w:val="28"/>
        </w:rPr>
      </w:pPr>
      <w:r>
        <w:rPr>
          <w:rFonts w:ascii="仿宋_GB2312" w:eastAsia="仿宋_GB2312" w:hint="eastAsia"/>
          <w:sz w:val="32"/>
          <w:szCs w:val="28"/>
        </w:rPr>
        <w:t>2018“书香姑苏”阅读节暨第十届平江晒书节于4月20日启动，为广大市民游客打造一个集文化旅游、非遗展示、传统工艺等于一体的大型阅读文化盛宴。本届晒书节各类主题系列活动多达21项。在吸收前几届活动成功经验及对旅游文化市场精心研判的基础上，将“晒书”</w:t>
      </w:r>
      <w:r>
        <w:rPr>
          <w:rFonts w:ascii="仿宋_GB2312" w:eastAsia="仿宋_GB2312" w:hint="eastAsia"/>
          <w:noProof/>
          <w:sz w:val="32"/>
          <w:szCs w:val="28"/>
        </w:rPr>
        <w:drawing>
          <wp:anchor distT="0" distB="0" distL="114300" distR="114300" simplePos="0" relativeHeight="251661312" behindDoc="0" locked="0" layoutInCell="1" allowOverlap="1">
            <wp:simplePos x="0" y="0"/>
            <wp:positionH relativeFrom="column">
              <wp:posOffset>1895475</wp:posOffset>
            </wp:positionH>
            <wp:positionV relativeFrom="paragraph">
              <wp:posOffset>114300</wp:posOffset>
            </wp:positionV>
            <wp:extent cx="3457575" cy="2590800"/>
            <wp:effectExtent l="19050" t="0" r="9525" b="0"/>
            <wp:wrapSquare wrapText="bothSides"/>
            <wp:docPr id="11" name="图片 10" descr="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3069.JPG"/>
                    <pic:cNvPicPr>
                      <a:picLocks noChangeAspect="1"/>
                    </pic:cNvPicPr>
                  </pic:nvPicPr>
                  <pic:blipFill>
                    <a:blip r:embed="rId12" cstate="print"/>
                    <a:stretch>
                      <a:fillRect/>
                    </a:stretch>
                  </pic:blipFill>
                  <pic:spPr>
                    <a:xfrm>
                      <a:off x="0" y="0"/>
                      <a:ext cx="3457575" cy="2590800"/>
                    </a:xfrm>
                    <a:prstGeom prst="rect">
                      <a:avLst/>
                    </a:prstGeom>
                  </pic:spPr>
                </pic:pic>
              </a:graphicData>
            </a:graphic>
          </wp:anchor>
        </w:drawing>
      </w:r>
      <w:r>
        <w:rPr>
          <w:rFonts w:ascii="仿宋_GB2312" w:eastAsia="仿宋_GB2312" w:hint="eastAsia"/>
          <w:sz w:val="32"/>
          <w:szCs w:val="28"/>
        </w:rPr>
        <w:t>这一苏州地区的传统习俗与平江路文化旅游资源相结合，开拓创新，举办“姑苏好白相”——古城文化旅游书籍联展，还首次通过现场真人再现和视频播放的形式，让广大市民和游客在晒书节主会场——大儒巷54号丁宅看到旧时“晒书”的真实情景。开幕式当天，由姑苏区古保委、姑苏区图书馆、姑苏区平江街道联合打造的一条“文化微旅游线路”也进行了首次发布。</w:t>
      </w:r>
    </w:p>
    <w:p w:rsidR="0071394C" w:rsidRDefault="00CD471D">
      <w:pPr>
        <w:pStyle w:val="a8"/>
        <w:numPr>
          <w:ilvl w:val="0"/>
          <w:numId w:val="3"/>
        </w:numPr>
        <w:spacing w:line="360" w:lineRule="auto"/>
        <w:ind w:firstLineChars="0"/>
        <w:rPr>
          <w:rFonts w:ascii="黑体" w:eastAsia="黑体" w:hAnsi="黑体"/>
          <w:sz w:val="32"/>
          <w:szCs w:val="32"/>
        </w:rPr>
      </w:pPr>
      <w:r>
        <w:rPr>
          <w:rFonts w:ascii="黑体" w:eastAsia="黑体" w:hAnsi="黑体" w:hint="eastAsia"/>
          <w:sz w:val="32"/>
          <w:szCs w:val="32"/>
        </w:rPr>
        <w:t>工作动态</w:t>
      </w: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t>4月13日，新建里13号最后一户居民搬离了老宅，标志着姑苏区平江历史街区成片（中张家巷以北）整治保护项目（二期）协议搬迁项目完成了清零。该项目涉及居民15户，建筑面积约1153</w:t>
      </w:r>
      <w:r>
        <w:rPr>
          <w:rFonts w:ascii="仿宋_GB2312" w:hint="eastAsia"/>
          <w:sz w:val="32"/>
          <w:szCs w:val="32"/>
        </w:rPr>
        <w:t>㎡</w:t>
      </w:r>
      <w:r>
        <w:rPr>
          <w:rFonts w:ascii="仿宋_GB2312" w:eastAsia="仿宋_GB2312" w:hint="eastAsia"/>
          <w:sz w:val="32"/>
          <w:szCs w:val="32"/>
        </w:rPr>
        <w:t>。</w:t>
      </w: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lastRenderedPageBreak/>
        <w:t>4月，拙政园片区综合行政执法大队主动出击，在前阶段平江路主路全部清除旗番、灯箱、店外占道等违法行为的基础上，逐步向支巷、河对岸等交界、管理薄弱地带延伸，不断加强精细化管理水平，努力打造平江历史街区4A级景区、5A级管理的新模式。</w:t>
      </w:r>
    </w:p>
    <w:p w:rsidR="0071394C" w:rsidRDefault="00CD471D">
      <w:pPr>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2336" behindDoc="0" locked="0" layoutInCell="1" allowOverlap="1">
            <wp:simplePos x="0" y="0"/>
            <wp:positionH relativeFrom="column">
              <wp:posOffset>2876550</wp:posOffset>
            </wp:positionH>
            <wp:positionV relativeFrom="paragraph">
              <wp:posOffset>1215390</wp:posOffset>
            </wp:positionV>
            <wp:extent cx="2400300" cy="3200400"/>
            <wp:effectExtent l="19050" t="0" r="0" b="0"/>
            <wp:wrapSquare wrapText="bothSides"/>
            <wp:docPr id="12" name="图片 11" descr="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5332.JPG"/>
                    <pic:cNvPicPr>
                      <a:picLocks noChangeAspect="1"/>
                    </pic:cNvPicPr>
                  </pic:nvPicPr>
                  <pic:blipFill>
                    <a:blip r:embed="rId13" cstate="print"/>
                    <a:stretch>
                      <a:fillRect/>
                    </a:stretch>
                  </pic:blipFill>
                  <pic:spPr>
                    <a:xfrm>
                      <a:off x="0" y="0"/>
                      <a:ext cx="2400300" cy="3200400"/>
                    </a:xfrm>
                    <a:prstGeom prst="rect">
                      <a:avLst/>
                    </a:prstGeom>
                  </pic:spPr>
                </pic:pic>
              </a:graphicData>
            </a:graphic>
          </wp:anchor>
        </w:drawing>
      </w:r>
      <w:r>
        <w:rPr>
          <w:rFonts w:ascii="仿宋_GB2312" w:eastAsia="仿宋_GB2312" w:hint="eastAsia"/>
          <w:sz w:val="32"/>
          <w:szCs w:val="32"/>
        </w:rPr>
        <w:t>5月初，平江街道对东北街步行街、百家巷、平家巷、园林路、狮林寺巷等景区重点区域的市容问题进行了集中整治，共教育规范店外经营5处，查处机动车道板违停2起，依法暂扣及清理违规广告牌10处，暂扣各类占道展架5个、凳子2个。</w:t>
      </w: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t>5月，市河道管理处启动主城区多条河道的清淤工程，</w:t>
      </w:r>
      <w:r>
        <w:rPr>
          <w:rFonts w:ascii="仿宋_GB2312" w:eastAsia="仿宋_GB2312" w:hAnsi="微软雅黑" w:hint="eastAsia"/>
          <w:color w:val="191919"/>
          <w:sz w:val="32"/>
          <w:szCs w:val="32"/>
        </w:rPr>
        <w:t>主要涉及片区内临顿河、平江河、悬桥河和西北街河四条，采用河道干涸清淤的方法施工，预计于六月中旬前完成。</w:t>
      </w: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t>5月，为确保“331”专项行动攻坚战的顺利开展，平江街道联合城管、公安、消防、市监等多个部门的执法力量，针对辖区内多处“三合一”场所、出租房（群租房）和存在火灾隐患的电动自行车停放场所进行了集中排查和整治，重点对邾长巷9号车库门前占道堆放杂物、曹胡徐巷1号废品</w:t>
      </w:r>
      <w:r>
        <w:rPr>
          <w:rFonts w:ascii="仿宋_GB2312" w:eastAsia="仿宋_GB2312" w:hint="eastAsia"/>
          <w:sz w:val="32"/>
          <w:szCs w:val="32"/>
        </w:rPr>
        <w:lastRenderedPageBreak/>
        <w:t>收购物品堆放、北园路沿线铝合金加工及废品收购点等突出问题进行了集中清理，共纠处违规占道经营15处、违规电瓶车充电12处，教育“三合一”场所18处，集中清理垃圾杂物3车。</w:t>
      </w: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t>5月，平江街道联合市、区有关部门，向临顿河北段沿岸商户发放综合整治通告单，并签署了《临顿河“爱河护河”承诺书》，要求商家结合自身存在的违章问题，限期进行拆除、清理、整改，为河道清淤工程的顺利开展营造良好工作氛围。</w:t>
      </w: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1394C" w:rsidRDefault="0071394C">
      <w:pPr>
        <w:ind w:firstLineChars="200" w:firstLine="640"/>
        <w:rPr>
          <w:rFonts w:ascii="仿宋_GB2312" w:eastAsia="仿宋_GB2312"/>
          <w:sz w:val="32"/>
          <w:szCs w:val="32"/>
        </w:rPr>
      </w:pPr>
    </w:p>
    <w:p w:rsidR="007E3CED" w:rsidRDefault="007E3CED">
      <w:pPr>
        <w:ind w:firstLineChars="200" w:firstLine="640"/>
        <w:rPr>
          <w:rFonts w:ascii="仿宋_GB2312" w:eastAsia="仿宋_GB2312"/>
          <w:sz w:val="32"/>
          <w:szCs w:val="32"/>
        </w:rPr>
      </w:pPr>
    </w:p>
    <w:p w:rsidR="007E3CED" w:rsidRDefault="007E3CED">
      <w:pPr>
        <w:ind w:firstLineChars="200" w:firstLine="640"/>
        <w:rPr>
          <w:rFonts w:ascii="仿宋_GB2312" w:eastAsia="仿宋_GB2312"/>
          <w:sz w:val="32"/>
          <w:szCs w:val="32"/>
        </w:rPr>
      </w:pPr>
    </w:p>
    <w:p w:rsidR="007E3CED" w:rsidRDefault="007E3CED">
      <w:pPr>
        <w:ind w:firstLineChars="200" w:firstLine="640"/>
        <w:rPr>
          <w:rFonts w:ascii="仿宋_GB2312" w:eastAsia="仿宋_GB2312"/>
          <w:sz w:val="32"/>
          <w:szCs w:val="32"/>
        </w:rPr>
      </w:pPr>
    </w:p>
    <w:p w:rsidR="0071394C" w:rsidRDefault="00CD471D">
      <w:pPr>
        <w:spacing w:line="560" w:lineRule="exact"/>
        <w:jc w:val="center"/>
        <w:rPr>
          <w:rFonts w:ascii="仿宋" w:eastAsia="仿宋_GB2312" w:hAnsi="仿宋"/>
          <w:b/>
          <w:w w:val="97"/>
          <w:sz w:val="32"/>
          <w:szCs w:val="32"/>
        </w:rPr>
      </w:pPr>
      <w:r>
        <w:rPr>
          <w:rFonts w:ascii="仿宋" w:eastAsia="仿宋_GB2312" w:hAnsi="仿宋" w:hint="eastAsia"/>
          <w:b/>
          <w:w w:val="97"/>
          <w:sz w:val="32"/>
          <w:szCs w:val="32"/>
        </w:rPr>
        <w:lastRenderedPageBreak/>
        <w:t>【平江史话】</w:t>
      </w:r>
    </w:p>
    <w:p w:rsidR="0071394C" w:rsidRDefault="0071394C">
      <w:pPr>
        <w:rPr>
          <w:rFonts w:ascii="仿宋_GB2312" w:eastAsia="仿宋_GB2312"/>
          <w:sz w:val="32"/>
          <w:szCs w:val="32"/>
        </w:rPr>
      </w:pPr>
    </w:p>
    <w:p w:rsidR="0071394C" w:rsidRDefault="00CD471D">
      <w:pPr>
        <w:ind w:firstLineChars="200" w:firstLine="640"/>
        <w:rPr>
          <w:rFonts w:ascii="仿宋_GB2312" w:eastAsia="仿宋_GB2312"/>
          <w:sz w:val="32"/>
          <w:szCs w:val="32"/>
        </w:rPr>
      </w:pPr>
      <w:r>
        <w:rPr>
          <w:rFonts w:ascii="仿宋_GB2312" w:eastAsia="仿宋_GB2312" w:hint="eastAsia"/>
          <w:sz w:val="32"/>
          <w:szCs w:val="32"/>
        </w:rPr>
        <w:t>在临顿路悬桥巷东头，曾经有过一座规模不小、风景秀丽的园林</w:t>
      </w:r>
      <w:r w:rsidR="002B0640">
        <w:rPr>
          <w:rFonts w:ascii="仿宋_GB2312" w:eastAsia="仿宋_GB2312" w:hint="eastAsia"/>
          <w:sz w:val="32"/>
          <w:szCs w:val="32"/>
        </w:rPr>
        <w:t>——宝树园。宝树园始建于明代，系归湛初所建，现在它的位置上</w:t>
      </w:r>
      <w:r>
        <w:rPr>
          <w:rFonts w:ascii="仿宋_GB2312" w:eastAsia="仿宋_GB2312" w:hint="eastAsia"/>
          <w:sz w:val="32"/>
          <w:szCs w:val="32"/>
        </w:rPr>
        <w:t>是一条僻静的小巷，叫做顾家花园。顾颉刚故居就位于顾家花园4号和7号。</w:t>
      </w:r>
    </w:p>
    <w:p w:rsidR="0071394C" w:rsidRDefault="007E3CED" w:rsidP="007E3CED">
      <w:pPr>
        <w:ind w:firstLineChars="200" w:firstLine="640"/>
        <w:rPr>
          <w:rFonts w:ascii="仿宋_GB2312" w:eastAsia="仿宋_GB2312"/>
          <w:sz w:val="32"/>
          <w:szCs w:val="32"/>
        </w:rPr>
      </w:pPr>
      <w:r>
        <w:rPr>
          <w:rFonts w:ascii="仿宋_GB2312" w:eastAsia="仿宋_GB2312" w:hint="eastAsia"/>
          <w:noProof/>
          <w:sz w:val="32"/>
          <w:szCs w:val="32"/>
        </w:rPr>
        <w:drawing>
          <wp:anchor distT="0" distB="0" distL="0" distR="0" simplePos="0" relativeHeight="251669504" behindDoc="1" locked="0" layoutInCell="1" allowOverlap="1">
            <wp:simplePos x="0" y="0"/>
            <wp:positionH relativeFrom="column">
              <wp:posOffset>57150</wp:posOffset>
            </wp:positionH>
            <wp:positionV relativeFrom="paragraph">
              <wp:posOffset>3273425</wp:posOffset>
            </wp:positionV>
            <wp:extent cx="5274310" cy="2962275"/>
            <wp:effectExtent l="19050" t="0" r="2540" b="0"/>
            <wp:wrapTight wrapText="bothSides">
              <wp:wrapPolygon edited="0">
                <wp:start x="-78" y="0"/>
                <wp:lineTo x="-78" y="21531"/>
                <wp:lineTo x="21610" y="21531"/>
                <wp:lineTo x="21610" y="0"/>
                <wp:lineTo x="-78" y="0"/>
              </wp:wrapPolygon>
            </wp:wrapTight>
            <wp:docPr id="1" name="图片 0" descr="ABUIABACGAAgs5fKxQUo8JPt1wcwgA84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BUIABACGAAgs5fKxQUo8JPt1wcwgA84uAg.jpg"/>
                    <pic:cNvPicPr>
                      <a:picLocks noChangeAspect="1"/>
                    </pic:cNvPicPr>
                  </pic:nvPicPr>
                  <pic:blipFill>
                    <a:blip r:embed="rId14" cstate="print"/>
                    <a:stretch>
                      <a:fillRect/>
                    </a:stretch>
                  </pic:blipFill>
                  <pic:spPr>
                    <a:xfrm>
                      <a:off x="0" y="0"/>
                      <a:ext cx="5274310" cy="2962275"/>
                    </a:xfrm>
                    <a:prstGeom prst="rect">
                      <a:avLst/>
                    </a:prstGeom>
                  </pic:spPr>
                </pic:pic>
              </a:graphicData>
            </a:graphic>
          </wp:anchor>
        </w:drawing>
      </w:r>
      <w:r w:rsidR="00CD471D">
        <w:rPr>
          <w:rFonts w:ascii="仿宋_GB2312" w:eastAsia="仿宋_GB2312" w:hint="eastAsia"/>
          <w:sz w:val="32"/>
          <w:szCs w:val="32"/>
        </w:rPr>
        <w:t>顾颉刚（1893-1980），著名史学家，苏州人。故居分为南北两个部分。南部为顾氏祖宅，系清代早期建筑，坐北朝南，可分为两路四进。东路第三进大厅面阔三间8.5米，进深七檩7.5米，圆梁扁作。两侧僻贡氏门景，东额“易安”，西额“逢吉”。屋顶平缓，檐口较低，装修古朴简洁。西路第二进花厅三间，园作梁，回顶，青石础，小方格子长窗。北部系近代建筑风格，主建筑为三间带两厢平房，比较宽敞，南有庭院，通风采光均佳，现状完整。</w:t>
      </w:r>
    </w:p>
    <w:sectPr w:rsidR="0071394C" w:rsidSect="0071394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B2C" w:rsidRDefault="00101B2C" w:rsidP="007E3CED">
      <w:r>
        <w:separator/>
      </w:r>
    </w:p>
  </w:endnote>
  <w:endnote w:type="continuationSeparator" w:id="1">
    <w:p w:rsidR="00101B2C" w:rsidRDefault="00101B2C" w:rsidP="007E3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B2C" w:rsidRDefault="00101B2C" w:rsidP="007E3CED">
      <w:r>
        <w:separator/>
      </w:r>
    </w:p>
  </w:footnote>
  <w:footnote w:type="continuationSeparator" w:id="1">
    <w:p w:rsidR="00101B2C" w:rsidRDefault="00101B2C" w:rsidP="007E3C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7E96"/>
    <w:multiLevelType w:val="multilevel"/>
    <w:tmpl w:val="07F97E96"/>
    <w:lvl w:ilvl="0">
      <w:start w:val="3"/>
      <w:numFmt w:val="japaneseCounting"/>
      <w:lvlText w:val="%1、"/>
      <w:lvlJc w:val="left"/>
      <w:pPr>
        <w:ind w:left="1486" w:hanging="720"/>
      </w:pPr>
      <w:rPr>
        <w:rFonts w:hint="default"/>
      </w:rPr>
    </w:lvl>
    <w:lvl w:ilvl="1">
      <w:start w:val="1"/>
      <w:numFmt w:val="lowerLetter"/>
      <w:lvlText w:val="%2)"/>
      <w:lvlJc w:val="left"/>
      <w:pPr>
        <w:ind w:left="1606" w:hanging="420"/>
      </w:pPr>
    </w:lvl>
    <w:lvl w:ilvl="2">
      <w:start w:val="1"/>
      <w:numFmt w:val="lowerRoman"/>
      <w:lvlText w:val="%3."/>
      <w:lvlJc w:val="right"/>
      <w:pPr>
        <w:ind w:left="2026" w:hanging="420"/>
      </w:pPr>
    </w:lvl>
    <w:lvl w:ilvl="3">
      <w:start w:val="1"/>
      <w:numFmt w:val="decimal"/>
      <w:lvlText w:val="%4."/>
      <w:lvlJc w:val="left"/>
      <w:pPr>
        <w:ind w:left="2446" w:hanging="420"/>
      </w:pPr>
    </w:lvl>
    <w:lvl w:ilvl="4">
      <w:start w:val="1"/>
      <w:numFmt w:val="lowerLetter"/>
      <w:lvlText w:val="%5)"/>
      <w:lvlJc w:val="left"/>
      <w:pPr>
        <w:ind w:left="2866" w:hanging="420"/>
      </w:pPr>
    </w:lvl>
    <w:lvl w:ilvl="5">
      <w:start w:val="1"/>
      <w:numFmt w:val="lowerRoman"/>
      <w:lvlText w:val="%6."/>
      <w:lvlJc w:val="right"/>
      <w:pPr>
        <w:ind w:left="3286" w:hanging="420"/>
      </w:pPr>
    </w:lvl>
    <w:lvl w:ilvl="6">
      <w:start w:val="1"/>
      <w:numFmt w:val="decimal"/>
      <w:lvlText w:val="%7."/>
      <w:lvlJc w:val="left"/>
      <w:pPr>
        <w:ind w:left="3706" w:hanging="420"/>
      </w:pPr>
    </w:lvl>
    <w:lvl w:ilvl="7">
      <w:start w:val="1"/>
      <w:numFmt w:val="lowerLetter"/>
      <w:lvlText w:val="%8)"/>
      <w:lvlJc w:val="left"/>
      <w:pPr>
        <w:ind w:left="4126" w:hanging="420"/>
      </w:pPr>
    </w:lvl>
    <w:lvl w:ilvl="8">
      <w:start w:val="1"/>
      <w:numFmt w:val="lowerRoman"/>
      <w:lvlText w:val="%9."/>
      <w:lvlJc w:val="right"/>
      <w:pPr>
        <w:ind w:left="4546" w:hanging="420"/>
      </w:pPr>
    </w:lvl>
  </w:abstractNum>
  <w:abstractNum w:abstractNumId="1">
    <w:nsid w:val="226D5D27"/>
    <w:multiLevelType w:val="multilevel"/>
    <w:tmpl w:val="226D5D27"/>
    <w:lvl w:ilvl="0">
      <w:start w:val="1"/>
      <w:numFmt w:val="japaneseCounting"/>
      <w:lvlText w:val="%1、"/>
      <w:lvlJc w:val="left"/>
      <w:pPr>
        <w:ind w:left="1245" w:hanging="720"/>
      </w:pPr>
      <w:rPr>
        <w:rFonts w:hint="default"/>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522A56CD"/>
    <w:multiLevelType w:val="multilevel"/>
    <w:tmpl w:val="522A56CD"/>
    <w:lvl w:ilvl="0">
      <w:start w:val="6"/>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31EB"/>
    <w:rsid w:val="00026971"/>
    <w:rsid w:val="00031B58"/>
    <w:rsid w:val="00047C6E"/>
    <w:rsid w:val="00087A8E"/>
    <w:rsid w:val="00097149"/>
    <w:rsid w:val="00101B2C"/>
    <w:rsid w:val="00112235"/>
    <w:rsid w:val="00193846"/>
    <w:rsid w:val="00230E7C"/>
    <w:rsid w:val="002B0640"/>
    <w:rsid w:val="002C32EF"/>
    <w:rsid w:val="002E31EB"/>
    <w:rsid w:val="003134CF"/>
    <w:rsid w:val="00354ACA"/>
    <w:rsid w:val="003C7F84"/>
    <w:rsid w:val="00410CB9"/>
    <w:rsid w:val="00455BE5"/>
    <w:rsid w:val="004A3C81"/>
    <w:rsid w:val="004F2980"/>
    <w:rsid w:val="005459BD"/>
    <w:rsid w:val="00546127"/>
    <w:rsid w:val="00554E06"/>
    <w:rsid w:val="005914B0"/>
    <w:rsid w:val="005F4DC3"/>
    <w:rsid w:val="00640CD9"/>
    <w:rsid w:val="00652CE2"/>
    <w:rsid w:val="006A22D7"/>
    <w:rsid w:val="00706C9F"/>
    <w:rsid w:val="0071394C"/>
    <w:rsid w:val="00740C42"/>
    <w:rsid w:val="00777871"/>
    <w:rsid w:val="007E3CED"/>
    <w:rsid w:val="008B2A3E"/>
    <w:rsid w:val="00917B46"/>
    <w:rsid w:val="00917C5C"/>
    <w:rsid w:val="009227F6"/>
    <w:rsid w:val="00935C78"/>
    <w:rsid w:val="00945983"/>
    <w:rsid w:val="00945AC3"/>
    <w:rsid w:val="009B23E8"/>
    <w:rsid w:val="009F4C62"/>
    <w:rsid w:val="00A44072"/>
    <w:rsid w:val="00A713A5"/>
    <w:rsid w:val="00A76B99"/>
    <w:rsid w:val="00AB1FB4"/>
    <w:rsid w:val="00AB2CC0"/>
    <w:rsid w:val="00AD7205"/>
    <w:rsid w:val="00B679A9"/>
    <w:rsid w:val="00BF1391"/>
    <w:rsid w:val="00C15856"/>
    <w:rsid w:val="00C33C6E"/>
    <w:rsid w:val="00C400EA"/>
    <w:rsid w:val="00C62B2E"/>
    <w:rsid w:val="00C66ED7"/>
    <w:rsid w:val="00CC53DB"/>
    <w:rsid w:val="00CC7F69"/>
    <w:rsid w:val="00CD3E75"/>
    <w:rsid w:val="00CD471D"/>
    <w:rsid w:val="00D0148C"/>
    <w:rsid w:val="00D23CAA"/>
    <w:rsid w:val="00D70410"/>
    <w:rsid w:val="00D728F4"/>
    <w:rsid w:val="00DB6E91"/>
    <w:rsid w:val="00E454C5"/>
    <w:rsid w:val="00E656F4"/>
    <w:rsid w:val="00F41093"/>
    <w:rsid w:val="00F93238"/>
    <w:rsid w:val="00F97B29"/>
    <w:rsid w:val="00FC7D33"/>
    <w:rsid w:val="00FD4B10"/>
    <w:rsid w:val="798A19AD"/>
    <w:rsid w:val="7F9645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4C"/>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1394C"/>
    <w:rPr>
      <w:sz w:val="18"/>
      <w:szCs w:val="18"/>
    </w:rPr>
  </w:style>
  <w:style w:type="paragraph" w:styleId="a4">
    <w:name w:val="footer"/>
    <w:basedOn w:val="a"/>
    <w:link w:val="Char0"/>
    <w:uiPriority w:val="99"/>
    <w:unhideWhenUsed/>
    <w:rsid w:val="0071394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1394C"/>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71394C"/>
    <w:pPr>
      <w:widowControl/>
      <w:spacing w:before="100" w:beforeAutospacing="1" w:after="100" w:afterAutospacing="1"/>
      <w:jc w:val="left"/>
    </w:pPr>
    <w:rPr>
      <w:rFonts w:ascii="宋体" w:hAnsi="宋体" w:cs="宋体"/>
      <w:kern w:val="0"/>
      <w:sz w:val="24"/>
      <w:szCs w:val="24"/>
    </w:rPr>
  </w:style>
  <w:style w:type="character" w:styleId="a7">
    <w:name w:val="Strong"/>
    <w:uiPriority w:val="22"/>
    <w:qFormat/>
    <w:rsid w:val="0071394C"/>
    <w:rPr>
      <w:b/>
      <w:bCs/>
    </w:rPr>
  </w:style>
  <w:style w:type="character" w:customStyle="1" w:styleId="Char1">
    <w:name w:val="页眉 Char"/>
    <w:basedOn w:val="a0"/>
    <w:link w:val="a5"/>
    <w:uiPriority w:val="99"/>
    <w:semiHidden/>
    <w:rsid w:val="0071394C"/>
    <w:rPr>
      <w:sz w:val="18"/>
      <w:szCs w:val="18"/>
    </w:rPr>
  </w:style>
  <w:style w:type="character" w:customStyle="1" w:styleId="Char0">
    <w:name w:val="页脚 Char"/>
    <w:basedOn w:val="a0"/>
    <w:link w:val="a4"/>
    <w:uiPriority w:val="99"/>
    <w:semiHidden/>
    <w:qFormat/>
    <w:rsid w:val="0071394C"/>
    <w:rPr>
      <w:sz w:val="18"/>
      <w:szCs w:val="18"/>
    </w:rPr>
  </w:style>
  <w:style w:type="paragraph" w:styleId="a8">
    <w:name w:val="List Paragraph"/>
    <w:basedOn w:val="a"/>
    <w:uiPriority w:val="34"/>
    <w:qFormat/>
    <w:rsid w:val="0071394C"/>
    <w:pPr>
      <w:ind w:firstLineChars="200" w:firstLine="420"/>
    </w:pPr>
  </w:style>
  <w:style w:type="character" w:customStyle="1" w:styleId="Char">
    <w:name w:val="批注框文本 Char"/>
    <w:basedOn w:val="a0"/>
    <w:link w:val="a3"/>
    <w:uiPriority w:val="99"/>
    <w:semiHidden/>
    <w:qFormat/>
    <w:rsid w:val="0071394C"/>
    <w:rPr>
      <w:rFonts w:ascii="Calibri" w:eastAsia="宋体" w:hAnsi="Calibri" w:cs="Times New Roman"/>
      <w:sz w:val="18"/>
      <w:szCs w:val="18"/>
    </w:rPr>
  </w:style>
  <w:style w:type="character" w:customStyle="1" w:styleId="apple-converted-space">
    <w:name w:val="apple-converted-space"/>
    <w:basedOn w:val="a0"/>
    <w:qFormat/>
    <w:rsid w:val="0071394C"/>
  </w:style>
  <w:style w:type="paragraph" w:customStyle="1" w:styleId="1">
    <w:name w:val="标题1"/>
    <w:basedOn w:val="a"/>
    <w:next w:val="a"/>
    <w:qFormat/>
    <w:rsid w:val="0071394C"/>
    <w:pPr>
      <w:tabs>
        <w:tab w:val="left" w:pos="9193"/>
        <w:tab w:val="left" w:pos="9827"/>
      </w:tabs>
      <w:overflowPunct w:val="0"/>
      <w:autoSpaceDE w:val="0"/>
      <w:autoSpaceDN w:val="0"/>
      <w:snapToGrid w:val="0"/>
      <w:spacing w:line="760" w:lineRule="atLeast"/>
      <w:jc w:val="center"/>
    </w:pPr>
    <w:rPr>
      <w:rFonts w:ascii="方正小标宋_GBK" w:eastAsia="方正小标宋_GBK" w:hAnsi="Times"/>
      <w:sz w:val="44"/>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405</Words>
  <Characters>2313</Characters>
  <Application>Microsoft Office Word</Application>
  <DocSecurity>0</DocSecurity>
  <Lines>19</Lines>
  <Paragraphs>5</Paragraphs>
  <ScaleCrop>false</ScaleCrop>
  <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2017-03-27T07:18:00Z</dcterms:created>
  <dcterms:modified xsi:type="dcterms:W3CDTF">2018-06-19T00:59:00Z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